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996" w:rsidRDefault="00BD0996">
      <w:pPr>
        <w:spacing w:after="240"/>
      </w:pPr>
    </w:p>
    <w:p w:rsidR="004C0AA9" w:rsidRDefault="004C0AA9" w:rsidP="004C0AA9">
      <w:pPr>
        <w:spacing w:before="240" w:after="240"/>
        <w:jc w:val="center"/>
      </w:pPr>
    </w:p>
    <w:p w:rsidR="004C0AA9" w:rsidRDefault="004C0AA9" w:rsidP="004C0AA9">
      <w:pPr>
        <w:spacing w:before="240" w:after="240"/>
        <w:jc w:val="center"/>
      </w:pPr>
    </w:p>
    <w:p w:rsidR="004C0AA9" w:rsidRDefault="004C0AA9" w:rsidP="004C0AA9">
      <w:pPr>
        <w:spacing w:before="240" w:after="240"/>
        <w:jc w:val="center"/>
      </w:pPr>
    </w:p>
    <w:p w:rsidR="004C0AA9" w:rsidRDefault="004C0AA9" w:rsidP="004C0AA9">
      <w:pPr>
        <w:spacing w:before="240" w:after="240"/>
        <w:jc w:val="center"/>
      </w:pPr>
    </w:p>
    <w:p w:rsidR="004C0AA9" w:rsidRDefault="004C0AA9" w:rsidP="004C0AA9">
      <w:pPr>
        <w:spacing w:before="240" w:after="240"/>
        <w:jc w:val="center"/>
      </w:pPr>
    </w:p>
    <w:p w:rsidR="004C0AA9" w:rsidRDefault="004C0AA9" w:rsidP="004C0AA9">
      <w:pPr>
        <w:spacing w:before="240" w:after="240"/>
        <w:jc w:val="center"/>
      </w:pPr>
    </w:p>
    <w:p w:rsidR="004C0AA9" w:rsidRDefault="004C0AA9" w:rsidP="004C0AA9">
      <w:pPr>
        <w:spacing w:before="240" w:after="240"/>
        <w:jc w:val="center"/>
      </w:pPr>
    </w:p>
    <w:p w:rsidR="004C0AA9" w:rsidRDefault="004C0AA9" w:rsidP="004C0AA9">
      <w:pPr>
        <w:spacing w:before="240" w:after="240"/>
        <w:jc w:val="center"/>
      </w:pPr>
    </w:p>
    <w:p w:rsidR="004C0AA9" w:rsidRDefault="004C0AA9" w:rsidP="004C0AA9">
      <w:pPr>
        <w:spacing w:before="240" w:after="240"/>
        <w:jc w:val="center"/>
      </w:pPr>
    </w:p>
    <w:p w:rsidR="004C0AA9" w:rsidRDefault="004C0AA9" w:rsidP="004C0AA9">
      <w:pPr>
        <w:spacing w:before="240" w:after="240"/>
        <w:jc w:val="center"/>
      </w:pPr>
    </w:p>
    <w:p w:rsidR="00BD0996" w:rsidRPr="004C0AA9" w:rsidRDefault="00897B3C" w:rsidP="004C0AA9">
      <w:pPr>
        <w:spacing w:before="240" w:after="240" w:line="480" w:lineRule="auto"/>
        <w:jc w:val="center"/>
      </w:pPr>
      <w:r w:rsidRPr="004C0AA9">
        <w:t>Social Work practice</w:t>
      </w:r>
    </w:p>
    <w:p w:rsidR="00BD0996" w:rsidRPr="004C0AA9" w:rsidRDefault="00897B3C" w:rsidP="004C0AA9">
      <w:pPr>
        <w:spacing w:before="240" w:after="240" w:line="480" w:lineRule="auto"/>
        <w:jc w:val="center"/>
      </w:pPr>
      <w:r w:rsidRPr="004C0AA9">
        <w:t>Institution Affiliation</w:t>
      </w:r>
    </w:p>
    <w:p w:rsidR="00BD0996" w:rsidRPr="004C0AA9" w:rsidRDefault="00897B3C" w:rsidP="004C0AA9">
      <w:pPr>
        <w:spacing w:before="240" w:after="240" w:line="480" w:lineRule="auto"/>
        <w:jc w:val="center"/>
      </w:pPr>
      <w:r w:rsidRPr="004C0AA9">
        <w:t>Students Name</w:t>
      </w:r>
    </w:p>
    <w:p w:rsidR="00BD0996" w:rsidRPr="004C0AA9" w:rsidRDefault="00897B3C" w:rsidP="004C0AA9">
      <w:pPr>
        <w:spacing w:before="240" w:after="240" w:line="480" w:lineRule="auto"/>
        <w:jc w:val="center"/>
      </w:pPr>
      <w:r w:rsidRPr="004C0AA9">
        <w:t>Date</w:t>
      </w:r>
    </w:p>
    <w:p w:rsidR="004C0AA9" w:rsidRPr="004C0AA9" w:rsidRDefault="004C0AA9" w:rsidP="004C0AA9">
      <w:pPr>
        <w:spacing w:before="240" w:after="240" w:line="480" w:lineRule="auto"/>
      </w:pPr>
    </w:p>
    <w:p w:rsidR="004C0AA9" w:rsidRPr="004C0AA9" w:rsidRDefault="004C0AA9" w:rsidP="004C0AA9">
      <w:pPr>
        <w:spacing w:before="240" w:after="240" w:line="480" w:lineRule="auto"/>
      </w:pPr>
    </w:p>
    <w:p w:rsidR="004C0AA9" w:rsidRPr="004C0AA9" w:rsidRDefault="004C0AA9" w:rsidP="004C0AA9">
      <w:pPr>
        <w:spacing w:before="240" w:after="240" w:line="480" w:lineRule="auto"/>
      </w:pPr>
    </w:p>
    <w:p w:rsidR="004C0AA9" w:rsidRDefault="004C0AA9" w:rsidP="004C0AA9">
      <w:pPr>
        <w:spacing w:before="240" w:after="240" w:line="480" w:lineRule="auto"/>
      </w:pPr>
    </w:p>
    <w:p w:rsidR="004C0AA9" w:rsidRPr="004C0AA9" w:rsidRDefault="004C0AA9" w:rsidP="004C0AA9">
      <w:pPr>
        <w:spacing w:before="240" w:after="240" w:line="480" w:lineRule="auto"/>
      </w:pPr>
    </w:p>
    <w:p w:rsidR="00BD0996" w:rsidRPr="004C0AA9" w:rsidRDefault="00897B3C" w:rsidP="004C0AA9">
      <w:pPr>
        <w:spacing w:before="240" w:after="240" w:line="480" w:lineRule="auto"/>
        <w:jc w:val="center"/>
        <w:rPr>
          <w:b/>
        </w:rPr>
      </w:pPr>
      <w:r w:rsidRPr="004C0AA9">
        <w:rPr>
          <w:b/>
        </w:rPr>
        <w:lastRenderedPageBreak/>
        <w:t>Social Work practice</w:t>
      </w:r>
    </w:p>
    <w:p w:rsidR="00BD0996" w:rsidRPr="004C0AA9" w:rsidRDefault="00897B3C" w:rsidP="004C0AA9">
      <w:pPr>
        <w:spacing w:before="240" w:after="240" w:line="480" w:lineRule="auto"/>
      </w:pPr>
      <w:r w:rsidRPr="004C0AA9">
        <w:t>The specific social work practice problem and the significance of addressing them</w:t>
      </w:r>
    </w:p>
    <w:p w:rsidR="00BD0996" w:rsidRPr="004C0AA9" w:rsidRDefault="00897B3C" w:rsidP="004C0AA9">
      <w:pPr>
        <w:spacing w:before="240" w:after="240" w:line="480" w:lineRule="auto"/>
        <w:ind w:firstLine="720"/>
      </w:pPr>
      <w:r w:rsidRPr="004C0AA9">
        <w:t xml:space="preserve">There are many social work problems currently that affect most of </w:t>
      </w:r>
      <w:r w:rsidRPr="004C0AA9">
        <w:t>the workers not only in America but across the world. The main issues are not limited to the following, incarceration, migration, high inequality in income and mental illness. Among this is the inequality gaps that exist in the provision of children servic</w:t>
      </w:r>
      <w:r w:rsidRPr="004C0AA9">
        <w:t xml:space="preserve">es in the department of human services whereby a particular group of individuals are mostly </w:t>
      </w:r>
      <w:r w:rsidR="004C0AA9" w:rsidRPr="004C0AA9">
        <w:t>favored</w:t>
      </w:r>
      <w:r w:rsidRPr="004C0AA9">
        <w:t xml:space="preserve"> than other groups (Anderson &amp; Kirkpatrick, 2016)</w:t>
      </w:r>
      <w:proofErr w:type="gramStart"/>
      <w:r w:rsidRPr="004C0AA9">
        <w:t>.</w:t>
      </w:r>
      <w:proofErr w:type="gramEnd"/>
      <w:r w:rsidRPr="004C0AA9">
        <w:t xml:space="preserve"> There is a vast significance of addressing these issues because these problems underwrite more significan</w:t>
      </w:r>
      <w:r w:rsidRPr="004C0AA9">
        <w:t>tly to the individual state of the person, and they are more than the disease, environmental problems. However, addressing these problems will support innovation, collaboration and expansion of proven, evidence-based programs to create meaningful, measurab</w:t>
      </w:r>
      <w:r w:rsidRPr="004C0AA9">
        <w:t>le progress on solving these and other urgent social problems in our current society.</w:t>
      </w:r>
    </w:p>
    <w:p w:rsidR="00BD0996" w:rsidRPr="004C0AA9" w:rsidRDefault="00897B3C" w:rsidP="004C0AA9">
      <w:pPr>
        <w:spacing w:before="240" w:after="240" w:line="480" w:lineRule="auto"/>
        <w:rPr>
          <w:b/>
        </w:rPr>
      </w:pPr>
      <w:r w:rsidRPr="004C0AA9">
        <w:rPr>
          <w:b/>
        </w:rPr>
        <w:t>Purpose of the study</w:t>
      </w:r>
    </w:p>
    <w:p w:rsidR="00BD0996" w:rsidRPr="004C0AA9" w:rsidRDefault="00897B3C" w:rsidP="004C0AA9">
      <w:pPr>
        <w:spacing w:before="240" w:after="240" w:line="480" w:lineRule="auto"/>
        <w:ind w:firstLine="720"/>
      </w:pPr>
      <w:r w:rsidRPr="004C0AA9">
        <w:t xml:space="preserve">The purpose of this study is to generate evidence-based suggestions about different ways of bridging the inequality gaps that exist in the provision </w:t>
      </w:r>
      <w:r w:rsidRPr="004C0AA9">
        <w:t>of children services in the Department of Human Services. The study design would be descriptive, and variables that would be investigated include challenges that social workers face in their effort to provide long-term care to vulnerable children and youth</w:t>
      </w:r>
      <w:r w:rsidRPr="004C0AA9">
        <w:t>s. The social worker sampling will target 12 social workers working in the Department of Human Services. All participants would be required to have worked for more than 20 clients in the past 12 months. This study will use qualitative research using narrat</w:t>
      </w:r>
      <w:r w:rsidRPr="004C0AA9">
        <w:t xml:space="preserve">ive interviews. </w:t>
      </w:r>
    </w:p>
    <w:p w:rsidR="00BD0996" w:rsidRPr="004C0AA9" w:rsidRDefault="00897B3C" w:rsidP="004C0AA9">
      <w:pPr>
        <w:spacing w:before="240" w:after="240" w:line="480" w:lineRule="auto"/>
        <w:rPr>
          <w:b/>
        </w:rPr>
      </w:pPr>
      <w:r w:rsidRPr="004C0AA9">
        <w:rPr>
          <w:b/>
        </w:rPr>
        <w:lastRenderedPageBreak/>
        <w:t>Research Question(s) or Hypotheses</w:t>
      </w:r>
    </w:p>
    <w:p w:rsidR="00BD0996" w:rsidRPr="004C0AA9" w:rsidRDefault="00897B3C" w:rsidP="004C0AA9">
      <w:pPr>
        <w:spacing w:before="240" w:after="240" w:line="480" w:lineRule="auto"/>
        <w:ind w:firstLine="720"/>
      </w:pPr>
      <w:r w:rsidRPr="004C0AA9">
        <w:t>According to Anderson &amp; Kirkpatrick, (2016), the social workers face communication inadequacies with the children, especially those whose parents or guardians are illiterate and do not show up or give rel</w:t>
      </w:r>
      <w:r w:rsidRPr="004C0AA9">
        <w:t xml:space="preserve">evant information about the health history of the children. For instance, in an interview conducted to one of the parents in California, the parent did not have any idea about the weight and health condition of his daughter just because of the illiteracy. </w:t>
      </w:r>
      <w:r w:rsidRPr="004C0AA9">
        <w:t>Secondly, social workers face the problem of transport when moving from one place to another using poor roads that contain potholes and conditions. Lastly, they lack support from the community, which is poverty-stricken and do not feel worthy of giving eve</w:t>
      </w:r>
      <w:r w:rsidRPr="004C0AA9">
        <w:t>n little aid to the program. This is clearly shown by the level of assistance and support they gain from the community in general.</w:t>
      </w:r>
    </w:p>
    <w:p w:rsidR="00BD0996" w:rsidRPr="004C0AA9" w:rsidRDefault="00897B3C" w:rsidP="004C0AA9">
      <w:pPr>
        <w:spacing w:before="240" w:after="240" w:line="480" w:lineRule="auto"/>
        <w:rPr>
          <w:b/>
        </w:rPr>
      </w:pPr>
      <w:r w:rsidRPr="004C0AA9">
        <w:rPr>
          <w:b/>
        </w:rPr>
        <w:t>Significance</w:t>
      </w:r>
      <w:r w:rsidR="004C0AA9" w:rsidRPr="004C0AA9">
        <w:rPr>
          <w:b/>
        </w:rPr>
        <w:t xml:space="preserve"> of the research</w:t>
      </w:r>
      <w:r w:rsidRPr="004C0AA9">
        <w:rPr>
          <w:b/>
        </w:rPr>
        <w:t xml:space="preserve"> </w:t>
      </w:r>
    </w:p>
    <w:p w:rsidR="00BD0996" w:rsidRPr="004C0AA9" w:rsidRDefault="00897B3C" w:rsidP="004C0AA9">
      <w:pPr>
        <w:spacing w:before="240" w:after="240" w:line="480" w:lineRule="auto"/>
        <w:ind w:firstLine="720"/>
      </w:pPr>
      <w:r w:rsidRPr="004C0AA9">
        <w:t>The study findings will help my agency in many ways. It will help create a plan for a permanent solution to pro</w:t>
      </w:r>
      <w:r w:rsidRPr="004C0AA9">
        <w:t>vide the children in the system with long term care. The study findings will contribute to the overall social work knowledge by giving light on global issues. These findings will allow social workers to assist the children in the system better. It will als</w:t>
      </w:r>
      <w:r w:rsidRPr="004C0AA9">
        <w:t>o provide information on different ways to assess the children in order so that one can be more competent and more equipped to assist these families (Hansen, 2014). The research will be conducted with the Dallas County Department of Human Services in Dalla</w:t>
      </w:r>
      <w:r w:rsidRPr="004C0AA9">
        <w:t>s, Texas. The results of this study will give the social worker ways of providing intervention and prevention to the impoverished families in which they serve. The bridges that will be better-communicating systems that will help social workers work for han</w:t>
      </w:r>
      <w:r w:rsidRPr="004C0AA9">
        <w:t xml:space="preserve">d and hand with schools, churches, recreation </w:t>
      </w:r>
      <w:proofErr w:type="spellStart"/>
      <w:r w:rsidRPr="004C0AA9">
        <w:t>centres</w:t>
      </w:r>
      <w:proofErr w:type="spellEnd"/>
      <w:r w:rsidRPr="004C0AA9">
        <w:t xml:space="preserve">, law enforcement to better assist these families as a community (Hansen, 2014). </w:t>
      </w:r>
    </w:p>
    <w:p w:rsidR="00BD0996" w:rsidRPr="004C0AA9" w:rsidRDefault="00897B3C" w:rsidP="004C0AA9">
      <w:pPr>
        <w:spacing w:before="240" w:after="240" w:line="480" w:lineRule="auto"/>
        <w:rPr>
          <w:b/>
        </w:rPr>
      </w:pPr>
      <w:r w:rsidRPr="004C0AA9">
        <w:rPr>
          <w:b/>
        </w:rPr>
        <w:lastRenderedPageBreak/>
        <w:t>Theoretical framework</w:t>
      </w:r>
      <w:r w:rsidR="004C0AA9" w:rsidRPr="004C0AA9">
        <w:rPr>
          <w:b/>
        </w:rPr>
        <w:t xml:space="preserve"> of the research</w:t>
      </w:r>
      <w:r w:rsidRPr="004C0AA9">
        <w:rPr>
          <w:b/>
        </w:rPr>
        <w:t xml:space="preserve"> </w:t>
      </w:r>
    </w:p>
    <w:p w:rsidR="00BD0996" w:rsidRPr="004C0AA9" w:rsidRDefault="00897B3C" w:rsidP="004C0AA9">
      <w:pPr>
        <w:spacing w:before="240" w:after="240" w:line="480" w:lineRule="auto"/>
        <w:ind w:firstLine="720"/>
      </w:pPr>
      <w:r w:rsidRPr="004C0AA9">
        <w:t>The theory will be social conflict theory. Social conflict theory helps explain different things s</w:t>
      </w:r>
      <w:r w:rsidRPr="004C0AA9">
        <w:t>uch as power disparities, power structures, and the impact of people lives (Marx, 2018). Sometimes power can be divided into every society, and with that, all societies perpetuate various forms of oppression and injustice through structural inequality (</w:t>
      </w:r>
      <w:proofErr w:type="spellStart"/>
      <w:r w:rsidRPr="004C0AA9">
        <w:t>Byw</w:t>
      </w:r>
      <w:r w:rsidRPr="004C0AA9">
        <w:t>aters</w:t>
      </w:r>
      <w:proofErr w:type="spellEnd"/>
      <w:r w:rsidRPr="004C0AA9">
        <w:t xml:space="preserve"> &amp; Sparks, 2017). This theory will inform my study because of its key elements. The critical items in this perspective are that society is structured in ways to benefit a few at the expense of the majority, and factors such as race, sex, class, and ag</w:t>
      </w:r>
      <w:r w:rsidRPr="004C0AA9">
        <w:t>e are linked to social inequality (</w:t>
      </w:r>
      <w:proofErr w:type="spellStart"/>
      <w:r w:rsidRPr="004C0AA9">
        <w:t>Bywaters</w:t>
      </w:r>
      <w:proofErr w:type="spellEnd"/>
      <w:r w:rsidRPr="004C0AA9">
        <w:t xml:space="preserve"> &amp; Sparks, 2017). Using those key elements, it will help social workers be able to recognize the existence of an exploited class whose members are experiencing social and economic inequities not because of some we</w:t>
      </w:r>
      <w:r w:rsidRPr="004C0AA9">
        <w:t>akness in their character, personality, culture, genetic endowment, or moral standards, but because of the nature of the traditional social structure. This theory assumes that it is based on offering a conceptual lens of social functioning. These framework</w:t>
      </w:r>
      <w:r w:rsidRPr="004C0AA9">
        <w:t>s focus on particular, recognizable features of a situation to guide what might be important considerations.</w:t>
      </w:r>
    </w:p>
    <w:p w:rsidR="00BD0996" w:rsidRPr="004C0AA9" w:rsidRDefault="00897B3C" w:rsidP="004C0AA9">
      <w:pPr>
        <w:spacing w:before="240" w:after="240" w:line="480" w:lineRule="auto"/>
        <w:rPr>
          <w:b/>
        </w:rPr>
      </w:pPr>
      <w:r w:rsidRPr="004C0AA9">
        <w:rPr>
          <w:b/>
        </w:rPr>
        <w:t>Background</w:t>
      </w:r>
      <w:r w:rsidR="004C0AA9" w:rsidRPr="004C0AA9">
        <w:rPr>
          <w:b/>
        </w:rPr>
        <w:t xml:space="preserve"> of the research</w:t>
      </w:r>
    </w:p>
    <w:p w:rsidR="00BD0996" w:rsidRPr="004C0AA9" w:rsidRDefault="00897B3C" w:rsidP="004C0AA9">
      <w:pPr>
        <w:spacing w:before="240" w:after="240" w:line="480" w:lineRule="auto"/>
        <w:ind w:firstLine="720"/>
        <w:rPr>
          <w:b/>
        </w:rPr>
      </w:pPr>
      <w:r w:rsidRPr="004C0AA9">
        <w:rPr>
          <w:b/>
        </w:rPr>
        <w:t>Theme 1: Caregiving Burdens in Social Work</w:t>
      </w:r>
    </w:p>
    <w:p w:rsidR="00BD0996" w:rsidRPr="004C0AA9" w:rsidRDefault="00897B3C" w:rsidP="004C0AA9">
      <w:pPr>
        <w:spacing w:before="240" w:after="240" w:line="480" w:lineRule="auto"/>
      </w:pPr>
      <w:proofErr w:type="spellStart"/>
      <w:r w:rsidRPr="004C0AA9">
        <w:t>Okane</w:t>
      </w:r>
      <w:proofErr w:type="spellEnd"/>
      <w:r w:rsidRPr="004C0AA9">
        <w:t xml:space="preserve"> &amp; </w:t>
      </w:r>
      <w:proofErr w:type="spellStart"/>
      <w:r w:rsidRPr="004C0AA9">
        <w:t>Phampilion</w:t>
      </w:r>
      <w:proofErr w:type="spellEnd"/>
      <w:r w:rsidRPr="004C0AA9">
        <w:t xml:space="preserve"> (2016) suggested in their studies that, social workers confess that they f</w:t>
      </w:r>
      <w:r w:rsidRPr="004C0AA9">
        <w:t xml:space="preserve">ace substantial caregiving burdens when addressing the needs of vulnerable children and youths. These challenges are connected to the scarcity of community resources and the quality of services. </w:t>
      </w:r>
    </w:p>
    <w:p w:rsidR="00BD0996" w:rsidRPr="004C0AA9" w:rsidRDefault="00897B3C" w:rsidP="004C0AA9">
      <w:pPr>
        <w:spacing w:before="240" w:after="240" w:line="480" w:lineRule="auto"/>
        <w:ind w:firstLine="720"/>
        <w:rPr>
          <w:b/>
        </w:rPr>
      </w:pPr>
      <w:r w:rsidRPr="004C0AA9">
        <w:rPr>
          <w:b/>
        </w:rPr>
        <w:t>Theme 2: Addressing Equality Gaps</w:t>
      </w:r>
    </w:p>
    <w:p w:rsidR="00BD0996" w:rsidRPr="004C0AA9" w:rsidRDefault="00897B3C" w:rsidP="004C0AA9">
      <w:pPr>
        <w:spacing w:before="240" w:after="240" w:line="480" w:lineRule="auto"/>
      </w:pPr>
      <w:r w:rsidRPr="004C0AA9">
        <w:lastRenderedPageBreak/>
        <w:t>To address the equality ga</w:t>
      </w:r>
      <w:r w:rsidRPr="004C0AA9">
        <w:t xml:space="preserve">ps in the provision of children services, caregiving interventions need to be intensive and individualized. Other studies suggest an approach that strengthens services through research, legal instruments, and orphan care policy. </w:t>
      </w:r>
    </w:p>
    <w:p w:rsidR="00BD0996" w:rsidRPr="004C0AA9" w:rsidRDefault="00897B3C" w:rsidP="004C0AA9">
      <w:pPr>
        <w:spacing w:before="240" w:after="240" w:line="480" w:lineRule="auto"/>
        <w:ind w:firstLine="720"/>
        <w:rPr>
          <w:b/>
        </w:rPr>
      </w:pPr>
      <w:r w:rsidRPr="004C0AA9">
        <w:rPr>
          <w:b/>
        </w:rPr>
        <w:t>Theme Three: Involving Par</w:t>
      </w:r>
      <w:r w:rsidRPr="004C0AA9">
        <w:rPr>
          <w:b/>
        </w:rPr>
        <w:t>ents</w:t>
      </w:r>
    </w:p>
    <w:p w:rsidR="00BD0996" w:rsidRPr="004C0AA9" w:rsidRDefault="00897B3C" w:rsidP="004C0AA9">
      <w:pPr>
        <w:spacing w:before="240" w:after="240" w:line="480" w:lineRule="auto"/>
      </w:pPr>
      <w:r w:rsidRPr="004C0AA9">
        <w:t>There is also a need for parent-caregiver partnerships because parents are vital sources of information about their children. Unfortunately, parents and social workers often forget to intervene on children's challenges at an individual level, simply b</w:t>
      </w:r>
      <w:r w:rsidRPr="004C0AA9">
        <w:t>ecause they think that such an approach is time and resources-consuming (</w:t>
      </w:r>
      <w:proofErr w:type="spellStart"/>
      <w:r w:rsidRPr="004C0AA9">
        <w:t>Okane</w:t>
      </w:r>
      <w:proofErr w:type="spellEnd"/>
      <w:r w:rsidRPr="004C0AA9">
        <w:t xml:space="preserve"> &amp; </w:t>
      </w:r>
      <w:proofErr w:type="spellStart"/>
      <w:r w:rsidRPr="004C0AA9">
        <w:t>Phampilion</w:t>
      </w:r>
      <w:proofErr w:type="spellEnd"/>
      <w:r w:rsidRPr="004C0AA9">
        <w:t xml:space="preserve">, 2016). </w:t>
      </w:r>
    </w:p>
    <w:p w:rsidR="00BD0996" w:rsidRPr="004C0AA9" w:rsidRDefault="00897B3C" w:rsidP="004C0AA9">
      <w:pPr>
        <w:spacing w:before="240" w:after="240" w:line="480" w:lineRule="auto"/>
        <w:rPr>
          <w:b/>
        </w:rPr>
      </w:pPr>
      <w:r w:rsidRPr="004C0AA9">
        <w:rPr>
          <w:b/>
        </w:rPr>
        <w:t>Nature of the</w:t>
      </w:r>
      <w:r w:rsidR="004C0AA9">
        <w:rPr>
          <w:b/>
        </w:rPr>
        <w:t xml:space="preserve"> research</w:t>
      </w:r>
      <w:r w:rsidRPr="004C0AA9">
        <w:rPr>
          <w:b/>
        </w:rPr>
        <w:t xml:space="preserve"> study</w:t>
      </w:r>
    </w:p>
    <w:p w:rsidR="00BD0996" w:rsidRPr="004C0AA9" w:rsidRDefault="00897B3C" w:rsidP="004C0AA9">
      <w:pPr>
        <w:spacing w:before="240" w:after="240" w:line="480" w:lineRule="auto"/>
        <w:ind w:firstLine="720"/>
      </w:pPr>
      <w:r w:rsidRPr="004C0AA9">
        <w:t>This work is based on the use of qualitative and quantitative data collection that could be used in sub-sample and full-sample data col</w:t>
      </w:r>
      <w:r w:rsidRPr="004C0AA9">
        <w:t xml:space="preserve">lection. Considerably, it focuses on the part of what makes the lives of children exceptional by looking at the opportunity to combine qualitative and quantitative methods and data. The general analysis of this data gives a much profound and comprehensive </w:t>
      </w:r>
      <w:r w:rsidRPr="004C0AA9">
        <w:t xml:space="preserve">picture of global child service than can be obtained through either quantitative household surveys or in-depth qualitative work alone. Furthermore, combining and comparing the data collected at the levels of the community, household and child build a rich </w:t>
      </w:r>
      <w:r w:rsidRPr="004C0AA9">
        <w:t>context for the study of sick children's lives.</w:t>
      </w:r>
    </w:p>
    <w:p w:rsidR="00BD0996" w:rsidRPr="004C0AA9" w:rsidRDefault="00897B3C" w:rsidP="004C0AA9">
      <w:pPr>
        <w:spacing w:before="240" w:after="240" w:line="480" w:lineRule="auto"/>
        <w:rPr>
          <w:b/>
        </w:rPr>
      </w:pPr>
      <w:r w:rsidRPr="004C0AA9">
        <w:rPr>
          <w:b/>
        </w:rPr>
        <w:t>Data types and sources of information</w:t>
      </w:r>
    </w:p>
    <w:p w:rsidR="00BD0996" w:rsidRPr="004C0AA9" w:rsidRDefault="00897B3C" w:rsidP="004C0AA9">
      <w:pPr>
        <w:spacing w:before="240" w:after="240" w:line="480" w:lineRule="auto"/>
        <w:ind w:firstLine="720"/>
      </w:pPr>
      <w:r w:rsidRPr="004C0AA9">
        <w:t xml:space="preserve">Different types of data can be collected, which include video data and verbal data. All these types of data will be received by the use of appropriate types of equipment </w:t>
      </w:r>
      <w:r w:rsidRPr="004C0AA9">
        <w:t xml:space="preserve">like voice recorder, cameras and video recorder. Also, more meaningful data can be recorded by writing </w:t>
      </w:r>
      <w:r w:rsidRPr="004C0AA9">
        <w:lastRenderedPageBreak/>
        <w:t>them for future references. This information will be uploaded onto the computer and will be managed by a key of managers who work with a lot of professio</w:t>
      </w:r>
      <w:r w:rsidRPr="004C0AA9">
        <w:t xml:space="preserve">nalism. Only, social workers in the Dallas County Department of Human Services will have access to this data while respecting confidentiality. </w:t>
      </w:r>
    </w:p>
    <w:p w:rsidR="00BD0996" w:rsidRPr="004C0AA9" w:rsidRDefault="00897B3C" w:rsidP="004C0AA9">
      <w:pPr>
        <w:spacing w:before="240" w:after="240" w:line="480" w:lineRule="auto"/>
        <w:rPr>
          <w:b/>
        </w:rPr>
      </w:pPr>
      <w:r w:rsidRPr="004C0AA9">
        <w:rPr>
          <w:b/>
        </w:rPr>
        <w:t>Limitations, Challenges, and or Barriers</w:t>
      </w:r>
    </w:p>
    <w:p w:rsidR="00BD0996" w:rsidRPr="004C0AA9" w:rsidRDefault="00897B3C" w:rsidP="004C0AA9">
      <w:pPr>
        <w:spacing w:before="240" w:after="240" w:line="480" w:lineRule="auto"/>
        <w:ind w:firstLine="720"/>
      </w:pPr>
      <w:r w:rsidRPr="004C0AA9">
        <w:t xml:space="preserve">According to </w:t>
      </w:r>
      <w:proofErr w:type="spellStart"/>
      <w:r w:rsidRPr="004C0AA9">
        <w:t>Dominelli</w:t>
      </w:r>
      <w:proofErr w:type="spellEnd"/>
      <w:r w:rsidRPr="004C0AA9">
        <w:t xml:space="preserve">, (2016), first the social workers should uphold </w:t>
      </w:r>
      <w:r w:rsidRPr="004C0AA9">
        <w:t>the value of service. Ethical Principle: their goals should gear towards helping the members of the community without demanding anything from them. Secondly, the social workers should ensure Social Justice Ethical Principle: they should strive to know if t</w:t>
      </w:r>
      <w:r w:rsidRPr="004C0AA9">
        <w:t>hey are doing justice to all people they serve. Thirdly, social work officers should ensure Dignity as well as the worth of the Person Ethical Principle: they have to appreciate the importance of keeping professionalism to appear positive in all the social</w:t>
      </w:r>
      <w:r w:rsidRPr="004C0AA9">
        <w:t xml:space="preserve"> interactions they make.</w:t>
      </w:r>
    </w:p>
    <w:p w:rsidR="004C0AA9" w:rsidRPr="004C0AA9" w:rsidRDefault="004C0AA9" w:rsidP="004C0AA9">
      <w:pPr>
        <w:spacing w:before="240" w:after="240" w:line="480" w:lineRule="auto"/>
        <w:jc w:val="center"/>
        <w:rPr>
          <w:b/>
          <w:bCs/>
        </w:rPr>
      </w:pPr>
    </w:p>
    <w:p w:rsidR="004C0AA9" w:rsidRPr="004C0AA9" w:rsidRDefault="004C0AA9" w:rsidP="004C0AA9">
      <w:pPr>
        <w:spacing w:before="240" w:after="240" w:line="480" w:lineRule="auto"/>
        <w:jc w:val="center"/>
        <w:rPr>
          <w:b/>
          <w:bCs/>
        </w:rPr>
      </w:pPr>
    </w:p>
    <w:p w:rsidR="004C0AA9" w:rsidRPr="004C0AA9" w:rsidRDefault="004C0AA9" w:rsidP="004C0AA9">
      <w:pPr>
        <w:spacing w:before="240" w:after="240" w:line="480" w:lineRule="auto"/>
        <w:jc w:val="center"/>
        <w:rPr>
          <w:b/>
          <w:bCs/>
        </w:rPr>
      </w:pPr>
    </w:p>
    <w:p w:rsidR="004C0AA9" w:rsidRPr="004C0AA9" w:rsidRDefault="004C0AA9" w:rsidP="004C0AA9">
      <w:pPr>
        <w:spacing w:before="240" w:after="240" w:line="480" w:lineRule="auto"/>
        <w:jc w:val="center"/>
        <w:rPr>
          <w:b/>
          <w:bCs/>
        </w:rPr>
      </w:pPr>
    </w:p>
    <w:p w:rsidR="004C0AA9" w:rsidRPr="004C0AA9" w:rsidRDefault="004C0AA9" w:rsidP="004C0AA9">
      <w:pPr>
        <w:spacing w:before="240" w:after="240" w:line="480" w:lineRule="auto"/>
        <w:jc w:val="center"/>
        <w:rPr>
          <w:b/>
          <w:bCs/>
        </w:rPr>
      </w:pPr>
    </w:p>
    <w:p w:rsidR="004C0AA9" w:rsidRDefault="004C0AA9" w:rsidP="004C0AA9">
      <w:pPr>
        <w:spacing w:before="240" w:after="240" w:line="480" w:lineRule="auto"/>
        <w:rPr>
          <w:b/>
          <w:bCs/>
        </w:rPr>
      </w:pPr>
    </w:p>
    <w:p w:rsidR="004C0AA9" w:rsidRPr="004C0AA9" w:rsidRDefault="004C0AA9" w:rsidP="004C0AA9">
      <w:pPr>
        <w:spacing w:before="240" w:after="240" w:line="480" w:lineRule="auto"/>
        <w:rPr>
          <w:b/>
          <w:bCs/>
        </w:rPr>
      </w:pPr>
    </w:p>
    <w:p w:rsidR="00BD0996" w:rsidRPr="004C0AA9" w:rsidRDefault="00897B3C" w:rsidP="004C0AA9">
      <w:pPr>
        <w:spacing w:before="240" w:after="240" w:line="480" w:lineRule="auto"/>
        <w:jc w:val="center"/>
      </w:pPr>
      <w:r w:rsidRPr="004C0AA9">
        <w:rPr>
          <w:b/>
          <w:bCs/>
        </w:rPr>
        <w:lastRenderedPageBreak/>
        <w:t>References</w:t>
      </w:r>
    </w:p>
    <w:p w:rsidR="004C0AA9" w:rsidRPr="004C0AA9" w:rsidRDefault="004C0AA9" w:rsidP="004C0AA9">
      <w:pPr>
        <w:spacing w:before="240" w:after="240" w:line="480" w:lineRule="auto"/>
        <w:ind w:left="720" w:hanging="720"/>
      </w:pPr>
      <w:r w:rsidRPr="004C0AA9">
        <w:t>Anderson, C. &amp; Kirkpatrick, S. (2016). Narrative Interviewing: International Journal of Research in Pharmacy, 38(3): 631-634</w:t>
      </w:r>
    </w:p>
    <w:p w:rsidR="004C0AA9" w:rsidRPr="004C0AA9" w:rsidRDefault="004C0AA9" w:rsidP="004C0AA9">
      <w:pPr>
        <w:spacing w:before="240" w:after="240" w:line="480" w:lineRule="auto"/>
        <w:ind w:left="720" w:hanging="720"/>
      </w:pPr>
      <w:proofErr w:type="spellStart"/>
      <w:r w:rsidRPr="004C0AA9">
        <w:t>Bywaters</w:t>
      </w:r>
      <w:proofErr w:type="spellEnd"/>
      <w:r w:rsidRPr="004C0AA9">
        <w:t xml:space="preserve">, P., &amp; Sparks, T. (2017). Child protection in England: An emerging inequalities perspective. Journal of Children's Services, 12(2-3), 107-112. Retrieved from </w:t>
      </w:r>
      <w:hyperlink r:id="rId6" w:tgtFrame="_blank" w:history="1">
        <w:r w:rsidRPr="004C0AA9">
          <w:rPr>
            <w:color w:val="0000EE"/>
            <w:u w:val="single" w:color="0000EE"/>
          </w:rPr>
          <w:t>https://pure.coventry.ac.uk/ws/portalfiles/portal/12025209/Journal_of_CHildren_s_Services.pdf</w:t>
        </w:r>
      </w:hyperlink>
    </w:p>
    <w:p w:rsidR="004C0AA9" w:rsidRPr="004C0AA9" w:rsidRDefault="004C0AA9" w:rsidP="004C0AA9">
      <w:pPr>
        <w:spacing w:before="240" w:after="240" w:line="480" w:lineRule="auto"/>
        <w:ind w:left="720" w:hanging="720"/>
      </w:pPr>
      <w:proofErr w:type="spellStart"/>
      <w:r w:rsidRPr="004C0AA9">
        <w:t>Dominelli</w:t>
      </w:r>
      <w:proofErr w:type="spellEnd"/>
      <w:r w:rsidRPr="004C0AA9">
        <w:t xml:space="preserve">, L. (2016). Social Work Challenges in the Second Decade of the 21st Century. Affiliate, 32(1), 105-107. </w:t>
      </w:r>
      <w:proofErr w:type="gramStart"/>
      <w:r w:rsidRPr="004C0AA9">
        <w:t>doi:</w:t>
      </w:r>
      <w:proofErr w:type="gramEnd"/>
      <w:r w:rsidRPr="004C0AA9">
        <w:t>10.1177/0886109916681390</w:t>
      </w:r>
    </w:p>
    <w:p w:rsidR="004C0AA9" w:rsidRPr="004C0AA9" w:rsidRDefault="004C0AA9" w:rsidP="004C0AA9">
      <w:pPr>
        <w:spacing w:before="240" w:after="240" w:line="480" w:lineRule="auto"/>
        <w:ind w:left="720" w:hanging="720"/>
      </w:pPr>
      <w:r w:rsidRPr="004C0AA9">
        <w:t>Hansen, P. (2014). Vulnerable Children and the Law: International Evidence for Improving Child Welfare, Child Protection and Children's Rights. Australian Social Work, 67(3), 451-452.doi:10.1080/0312407x.2014.915716</w:t>
      </w:r>
    </w:p>
    <w:p w:rsidR="004C0AA9" w:rsidRPr="004C0AA9" w:rsidRDefault="004C0AA9" w:rsidP="004C0AA9">
      <w:pPr>
        <w:spacing w:before="240" w:after="240" w:line="480" w:lineRule="auto"/>
        <w:ind w:left="720" w:hanging="720"/>
      </w:pPr>
      <w:r w:rsidRPr="004C0AA9">
        <w:t xml:space="preserve">Marx, K. (2018). Law, class and conflict. Jurisprudence, 63-70. </w:t>
      </w:r>
      <w:proofErr w:type="gramStart"/>
      <w:r w:rsidRPr="004C0AA9">
        <w:t>doi:</w:t>
      </w:r>
      <w:proofErr w:type="gramEnd"/>
      <w:r w:rsidRPr="004C0AA9">
        <w:t>10.4324/9781315795997-6</w:t>
      </w:r>
    </w:p>
    <w:p w:rsidR="004C0AA9" w:rsidRPr="004C0AA9" w:rsidRDefault="004C0AA9" w:rsidP="004C0AA9">
      <w:pPr>
        <w:spacing w:before="240" w:after="240" w:line="480" w:lineRule="auto"/>
        <w:ind w:left="720" w:hanging="720"/>
      </w:pPr>
      <w:proofErr w:type="spellStart"/>
      <w:r w:rsidRPr="004C0AA9">
        <w:t>Okane</w:t>
      </w:r>
      <w:proofErr w:type="spellEnd"/>
      <w:r w:rsidRPr="004C0AA9">
        <w:t xml:space="preserve">, G. &amp; </w:t>
      </w:r>
      <w:proofErr w:type="spellStart"/>
      <w:r w:rsidRPr="004C0AA9">
        <w:t>Phampilion</w:t>
      </w:r>
      <w:proofErr w:type="spellEnd"/>
      <w:r w:rsidRPr="004C0AA9">
        <w:t>, B. (2016). Narrative Interviewing: Public Health Nutrition, 19(4): 585-592</w:t>
      </w:r>
    </w:p>
    <w:p w:rsidR="00BD0996" w:rsidRPr="004C0AA9" w:rsidRDefault="00BD0996" w:rsidP="004C0AA9">
      <w:pPr>
        <w:spacing w:line="480" w:lineRule="auto"/>
      </w:pPr>
      <w:bookmarkStart w:id="0" w:name="_GoBack"/>
      <w:bookmarkEnd w:id="0"/>
    </w:p>
    <w:sectPr w:rsidR="00BD0996" w:rsidRPr="004C0AA9" w:rsidSect="004C0AA9">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B3C" w:rsidRDefault="00897B3C" w:rsidP="004C0AA9">
      <w:r>
        <w:separator/>
      </w:r>
    </w:p>
  </w:endnote>
  <w:endnote w:type="continuationSeparator" w:id="0">
    <w:p w:rsidR="00897B3C" w:rsidRDefault="00897B3C" w:rsidP="004C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B3C" w:rsidRDefault="00897B3C" w:rsidP="004C0AA9">
      <w:r>
        <w:separator/>
      </w:r>
    </w:p>
  </w:footnote>
  <w:footnote w:type="continuationSeparator" w:id="0">
    <w:p w:rsidR="00897B3C" w:rsidRDefault="00897B3C" w:rsidP="004C0A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0AA9" w:rsidRDefault="004C0AA9">
    <w:pPr>
      <w:pStyle w:val="Header"/>
    </w:pPr>
    <w:r>
      <w:t>SOCIAL WORK PRACTICE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0AA9" w:rsidRDefault="004C0AA9">
    <w:pPr>
      <w:pStyle w:val="Header"/>
    </w:pPr>
    <w:r>
      <w:t>RUNNING HEAD: SOCIAL WORK PRACTICE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996"/>
    <w:rsid w:val="004C0AA9"/>
    <w:rsid w:val="00897B3C"/>
    <w:rsid w:val="00BD0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520FBD-687A-4FC6-88CD-AF8AB9132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AA9"/>
    <w:pPr>
      <w:tabs>
        <w:tab w:val="center" w:pos="4680"/>
        <w:tab w:val="right" w:pos="9360"/>
      </w:tabs>
    </w:pPr>
  </w:style>
  <w:style w:type="character" w:customStyle="1" w:styleId="HeaderChar">
    <w:name w:val="Header Char"/>
    <w:basedOn w:val="DefaultParagraphFont"/>
    <w:link w:val="Header"/>
    <w:uiPriority w:val="99"/>
    <w:rsid w:val="004C0AA9"/>
    <w:rPr>
      <w:sz w:val="24"/>
      <w:szCs w:val="24"/>
    </w:rPr>
  </w:style>
  <w:style w:type="paragraph" w:styleId="Footer">
    <w:name w:val="footer"/>
    <w:basedOn w:val="Normal"/>
    <w:link w:val="FooterChar"/>
    <w:uiPriority w:val="99"/>
    <w:unhideWhenUsed/>
    <w:rsid w:val="004C0AA9"/>
    <w:pPr>
      <w:tabs>
        <w:tab w:val="center" w:pos="4680"/>
        <w:tab w:val="right" w:pos="9360"/>
      </w:tabs>
    </w:pPr>
  </w:style>
  <w:style w:type="character" w:customStyle="1" w:styleId="FooterChar">
    <w:name w:val="Footer Char"/>
    <w:basedOn w:val="DefaultParagraphFont"/>
    <w:link w:val="Footer"/>
    <w:uiPriority w:val="99"/>
    <w:rsid w:val="004C0AA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re.coventry.ac.uk/ws/portalfiles/portal/12025209/Journal_of_CHildren_s_Services.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1356</Words>
  <Characters>7731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dalmas</dc:creator>
  <cp:lastModifiedBy>m</cp:lastModifiedBy>
  <cp:revision>2</cp:revision>
  <dcterms:created xsi:type="dcterms:W3CDTF">2019-08-07T23:11:00Z</dcterms:created>
  <dcterms:modified xsi:type="dcterms:W3CDTF">2019-08-07T23:11:00Z</dcterms:modified>
</cp:coreProperties>
</file>